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AB33E">
      <w:pPr>
        <w:pStyle w:val="2"/>
        <w:keepNext w:val="0"/>
        <w:keepLines w:val="0"/>
        <w:widowControl/>
        <w:suppressLineNumbers w:val="0"/>
      </w:pPr>
      <w:r>
        <w:t xml:space="preserve">Supplementary Table 2. Complete antibiogram of the initial methicillin-susceptible </w:t>
      </w:r>
      <w:r>
        <w:rPr>
          <w:rStyle w:val="5"/>
        </w:rPr>
        <w:t>Staphylococcus aureus</w:t>
      </w:r>
      <w:r>
        <w:t xml:space="preserve"> isolate</w:t>
      </w:r>
    </w:p>
    <w:tbl>
      <w:tblPr>
        <w:tblW w:w="8393" w:type="dxa"/>
        <w:jc w:val="center"/>
        <w:tblCellSpacing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95"/>
        <w:gridCol w:w="1862"/>
        <w:gridCol w:w="1736"/>
      </w:tblGrid>
      <w:tr w14:paraId="0700F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163B11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Antimicrobial agent / test</w:t>
            </w:r>
          </w:p>
        </w:tc>
        <w:tc>
          <w:tcPr>
            <w:tcW w:w="1832" w:type="dxa"/>
            <w:shd w:val="clear"/>
            <w:vAlign w:val="center"/>
          </w:tcPr>
          <w:p w14:paraId="038F20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Interpretation</w:t>
            </w:r>
          </w:p>
        </w:tc>
        <w:tc>
          <w:tcPr>
            <w:tcW w:w="1691" w:type="dxa"/>
            <w:shd w:val="clear"/>
            <w:vAlign w:val="center"/>
          </w:tcPr>
          <w:p w14:paraId="35579F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MIC / result</w:t>
            </w:r>
          </w:p>
        </w:tc>
      </w:tr>
      <w:tr w14:paraId="209C0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685FA7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Clindamycin</w:t>
            </w:r>
          </w:p>
        </w:tc>
        <w:tc>
          <w:tcPr>
            <w:tcW w:w="1832" w:type="dxa"/>
            <w:shd w:val="clear"/>
            <w:vAlign w:val="center"/>
          </w:tcPr>
          <w:p w14:paraId="348A9D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2D2094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≤0.25 μg/mL</w:t>
            </w:r>
          </w:p>
        </w:tc>
      </w:tr>
      <w:tr w14:paraId="6F989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53606A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Tigecycline</w:t>
            </w:r>
          </w:p>
        </w:tc>
        <w:tc>
          <w:tcPr>
            <w:tcW w:w="1832" w:type="dxa"/>
            <w:shd w:val="clear"/>
            <w:vAlign w:val="center"/>
          </w:tcPr>
          <w:p w14:paraId="571586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04A423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≤0.12 μg/mL</w:t>
            </w:r>
          </w:p>
        </w:tc>
      </w:tr>
      <w:tr w14:paraId="20CC6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29CCAC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Linezolid</w:t>
            </w:r>
          </w:p>
        </w:tc>
        <w:tc>
          <w:tcPr>
            <w:tcW w:w="1832" w:type="dxa"/>
            <w:shd w:val="clear"/>
            <w:vAlign w:val="center"/>
          </w:tcPr>
          <w:p w14:paraId="392599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3C1C08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 μg/mL</w:t>
            </w:r>
          </w:p>
        </w:tc>
      </w:tr>
      <w:tr w14:paraId="5837A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07C6A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Quinupristin/dalfopristin</w:t>
            </w:r>
          </w:p>
        </w:tc>
        <w:tc>
          <w:tcPr>
            <w:tcW w:w="1832" w:type="dxa"/>
            <w:shd w:val="clear"/>
            <w:vAlign w:val="center"/>
          </w:tcPr>
          <w:p w14:paraId="16B3E9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47DFCD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≤0.25 μg/mL</w:t>
            </w:r>
          </w:p>
        </w:tc>
      </w:tr>
      <w:tr w14:paraId="660D0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36FE34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Cefoxitin screen</w:t>
            </w:r>
          </w:p>
        </w:tc>
        <w:tc>
          <w:tcPr>
            <w:tcW w:w="1832" w:type="dxa"/>
            <w:shd w:val="clear"/>
            <w:vAlign w:val="center"/>
          </w:tcPr>
          <w:p w14:paraId="2A2104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Negative</w:t>
            </w:r>
          </w:p>
        </w:tc>
        <w:tc>
          <w:tcPr>
            <w:tcW w:w="1691" w:type="dxa"/>
            <w:shd w:val="clear"/>
            <w:vAlign w:val="center"/>
          </w:tcPr>
          <w:p w14:paraId="4376D0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Negative</w:t>
            </w:r>
          </w:p>
        </w:tc>
      </w:tr>
      <w:tr w14:paraId="6C800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5608EF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Moxifloxacin</w:t>
            </w:r>
          </w:p>
        </w:tc>
        <w:tc>
          <w:tcPr>
            <w:tcW w:w="1832" w:type="dxa"/>
            <w:shd w:val="clear"/>
            <w:vAlign w:val="center"/>
          </w:tcPr>
          <w:p w14:paraId="4689F3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6A0D33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≤0.25 μg/mL</w:t>
            </w:r>
          </w:p>
        </w:tc>
      </w:tr>
      <w:tr w14:paraId="6E06E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5251AA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Inducible clindamycin resistance test</w:t>
            </w:r>
          </w:p>
        </w:tc>
        <w:tc>
          <w:tcPr>
            <w:tcW w:w="1832" w:type="dxa"/>
            <w:shd w:val="clear"/>
            <w:vAlign w:val="center"/>
          </w:tcPr>
          <w:p w14:paraId="521591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Negative</w:t>
            </w:r>
          </w:p>
        </w:tc>
        <w:tc>
          <w:tcPr>
            <w:tcW w:w="1691" w:type="dxa"/>
            <w:shd w:val="clear"/>
            <w:vAlign w:val="center"/>
          </w:tcPr>
          <w:p w14:paraId="4FFC24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Negative</w:t>
            </w:r>
          </w:p>
        </w:tc>
      </w:tr>
      <w:tr w14:paraId="51AD7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08A877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Levofloxacin</w:t>
            </w:r>
          </w:p>
        </w:tc>
        <w:tc>
          <w:tcPr>
            <w:tcW w:w="1832" w:type="dxa"/>
            <w:shd w:val="clear"/>
            <w:vAlign w:val="center"/>
          </w:tcPr>
          <w:p w14:paraId="52C618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5C5A16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≤0.12 μg/mL</w:t>
            </w:r>
          </w:p>
        </w:tc>
      </w:tr>
      <w:tr w14:paraId="4BD42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15AA2B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Vancomycin</w:t>
            </w:r>
          </w:p>
        </w:tc>
        <w:tc>
          <w:tcPr>
            <w:tcW w:w="1832" w:type="dxa"/>
            <w:shd w:val="clear"/>
            <w:vAlign w:val="center"/>
          </w:tcPr>
          <w:p w14:paraId="46C7C2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3D4515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 μg/mL</w:t>
            </w:r>
          </w:p>
        </w:tc>
      </w:tr>
      <w:tr w14:paraId="01711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59A1EE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Gentamicin</w:t>
            </w:r>
          </w:p>
        </w:tc>
        <w:tc>
          <w:tcPr>
            <w:tcW w:w="1832" w:type="dxa"/>
            <w:shd w:val="clear"/>
            <w:vAlign w:val="center"/>
          </w:tcPr>
          <w:p w14:paraId="4F42C6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786531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≤0.5 μg/mL</w:t>
            </w:r>
          </w:p>
        </w:tc>
      </w:tr>
      <w:tr w14:paraId="21B7D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797202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Nitrofurantoin</w:t>
            </w:r>
          </w:p>
        </w:tc>
        <w:tc>
          <w:tcPr>
            <w:tcW w:w="1832" w:type="dxa"/>
            <w:shd w:val="clear"/>
            <w:vAlign w:val="center"/>
          </w:tcPr>
          <w:p w14:paraId="74D4B3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70F58E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≤16 μg/mL</w:t>
            </w:r>
          </w:p>
        </w:tc>
      </w:tr>
      <w:tr w14:paraId="7EA29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669B60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Rifampicin</w:t>
            </w:r>
          </w:p>
        </w:tc>
        <w:tc>
          <w:tcPr>
            <w:tcW w:w="1832" w:type="dxa"/>
            <w:shd w:val="clear"/>
            <w:vAlign w:val="center"/>
          </w:tcPr>
          <w:p w14:paraId="20591D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1B6C8E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≤0.5 μg/mL</w:t>
            </w:r>
          </w:p>
        </w:tc>
      </w:tr>
      <w:tr w14:paraId="74E33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06E540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Erythromycin</w:t>
            </w:r>
          </w:p>
        </w:tc>
        <w:tc>
          <w:tcPr>
            <w:tcW w:w="1832" w:type="dxa"/>
            <w:shd w:val="clear"/>
            <w:vAlign w:val="center"/>
          </w:tcPr>
          <w:p w14:paraId="7AE84B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48ABDF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≤0.25 μg/mL</w:t>
            </w:r>
          </w:p>
        </w:tc>
      </w:tr>
      <w:tr w14:paraId="4C1B6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4C13B7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Oxacillin</w:t>
            </w:r>
          </w:p>
        </w:tc>
        <w:tc>
          <w:tcPr>
            <w:tcW w:w="1832" w:type="dxa"/>
            <w:shd w:val="clear"/>
            <w:vAlign w:val="center"/>
          </w:tcPr>
          <w:p w14:paraId="53A8F9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1645A6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≤0.25 μg/mL</w:t>
            </w:r>
          </w:p>
        </w:tc>
      </w:tr>
      <w:tr w14:paraId="59FF4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6A2BBF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Penicillin G</w:t>
            </w:r>
          </w:p>
        </w:tc>
        <w:tc>
          <w:tcPr>
            <w:tcW w:w="1832" w:type="dxa"/>
            <w:shd w:val="clear"/>
            <w:vAlign w:val="center"/>
          </w:tcPr>
          <w:p w14:paraId="77E447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Resistant</w:t>
            </w:r>
          </w:p>
        </w:tc>
        <w:tc>
          <w:tcPr>
            <w:tcW w:w="1691" w:type="dxa"/>
            <w:shd w:val="clear"/>
            <w:vAlign w:val="center"/>
          </w:tcPr>
          <w:p w14:paraId="09D840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≥0.5 μg/mL</w:t>
            </w:r>
          </w:p>
        </w:tc>
      </w:tr>
      <w:tr w14:paraId="7F643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44EF25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Trimethoprim-sulfamethoxazole</w:t>
            </w:r>
          </w:p>
        </w:tc>
        <w:tc>
          <w:tcPr>
            <w:tcW w:w="1832" w:type="dxa"/>
            <w:shd w:val="clear"/>
            <w:vAlign w:val="center"/>
          </w:tcPr>
          <w:p w14:paraId="2038A4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052333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≤10 μg/mL</w:t>
            </w:r>
          </w:p>
        </w:tc>
      </w:tr>
      <w:tr w14:paraId="25AB2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754D9D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Tetracycline</w:t>
            </w:r>
          </w:p>
        </w:tc>
        <w:tc>
          <w:tcPr>
            <w:tcW w:w="1832" w:type="dxa"/>
            <w:shd w:val="clear"/>
            <w:vAlign w:val="center"/>
          </w:tcPr>
          <w:p w14:paraId="3314AC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23154E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≤1 μg/mL</w:t>
            </w:r>
          </w:p>
        </w:tc>
      </w:tr>
      <w:tr w14:paraId="349F0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4750" w:type="dxa"/>
            <w:shd w:val="clear"/>
            <w:vAlign w:val="center"/>
          </w:tcPr>
          <w:p w14:paraId="028054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Ciprofloxacin</w:t>
            </w:r>
          </w:p>
        </w:tc>
        <w:tc>
          <w:tcPr>
            <w:tcW w:w="1832" w:type="dxa"/>
            <w:shd w:val="clear"/>
            <w:vAlign w:val="center"/>
          </w:tcPr>
          <w:p w14:paraId="01600C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Susceptible</w:t>
            </w:r>
          </w:p>
        </w:tc>
        <w:tc>
          <w:tcPr>
            <w:tcW w:w="1691" w:type="dxa"/>
            <w:shd w:val="clear"/>
            <w:vAlign w:val="center"/>
          </w:tcPr>
          <w:p w14:paraId="74DF42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sz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≤0.5 μg/mL</w:t>
            </w:r>
          </w:p>
        </w:tc>
      </w:tr>
    </w:tbl>
    <w:p w14:paraId="70EDA9E8">
      <w:pPr>
        <w:pStyle w:val="2"/>
        <w:keepNext w:val="0"/>
        <w:keepLines w:val="0"/>
        <w:widowControl/>
        <w:suppressLineNumbers w:val="0"/>
      </w:pPr>
      <w:r>
        <w:t>Abbreviation: MIC, minimum inhibitory concentration.</w:t>
      </w:r>
    </w:p>
    <w:p w14:paraId="68CAE360">
      <w:pPr>
        <w:pStyle w:val="2"/>
        <w:keepNext w:val="0"/>
        <w:keepLines w:val="0"/>
        <w:widowControl/>
        <w:suppressLineNumbers w:val="0"/>
      </w:pPr>
      <w:r>
        <w:t xml:space="preserve">Note: The isolate was identified as methicillin-susceptible </w:t>
      </w:r>
      <w:r>
        <w:rPr>
          <w:rStyle w:val="5"/>
        </w:rPr>
        <w:t>Staphylococcus aureus</w:t>
      </w:r>
      <w:r>
        <w:t xml:space="preserve"> based on oxacillin susceptibility and negative cefoxitin screening. The inducible clindamycin resistance test was negative. These results represent in vitro antimicrobial susceptibility findings; clinical antimicrobial selection was also guided by infection site, disease severity, bacteremia status, organ function, source-control status, therapeutic drug monitoring, and clinical response.</w:t>
      </w:r>
    </w:p>
    <w:p w14:paraId="3E61B4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20469"/>
    <w:rsid w:val="2652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2026-06-15T18:12:00Z</dcterms:created>
  <dc:creator>朱悦</dc:creator>
  <cp:lastModifiedBy>朱悦</cp:lastModifiedBy>
  <dcterms:modified xsi:type="dcterms:W3CDTF">2026-06-15T18:13:54Z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6B97DD41996644BEA39F3C877E299E36_11</vt:lpwstr>
  </property>
  <property fmtid="{D5CDD505-2E9C-101B-9397-08002B2CF9AE}" pid="4" name="KSOTemplateDocerSaveRecord">
    <vt:lpwstr>eyJoZGlkIjoiOWZkOWUzYjBiYTU2NzhiNTFmODQxZDRjM2UwYmYyMDEiLCJ1c2VySWQiOiIxNjQwMjYxMjgxIn0=</vt:lpwstr>
  </property>
</Properties>
</file>